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Behbahani Ali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2855 SAND HILL RD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Black Diamond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BDTX</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200" w:type="dxa"/>
            <w:vAlign w:val="bottom"/>
            <w:gridSpan w:val="2"/>
          </w:tcPr>
          <w:p>
            <w:pPr>
              <w:spacing w:after="0"/>
              <w:rPr>
                <w:sz w:val="3"/>
                <w:szCs w:val="3"/>
                <w:color w:val="auto"/>
              </w:rPr>
            </w:pPr>
          </w:p>
        </w:tc>
        <w:tc>
          <w:tcPr>
            <w:tcW w:w="2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Times New Roman" w:cs="Times New Roman" w:eastAsia="Times New Roman" w:hAnsi="Times New Roman"/>
                <w:sz w:val="1"/>
                <w:szCs w:val="1"/>
                <w:color w:val="auto"/>
              </w:rPr>
            </w:pPr>
            <w:hyperlink r:id="rId13">
              <w:r>
                <w:rPr>
                  <w:rFonts w:ascii="Times New Roman" w:cs="Times New Roman" w:eastAsia="Times New Roman" w:hAnsi="Times New Roman"/>
                  <w:sz w:val="1"/>
                  <w:szCs w:val="1"/>
                  <w:color w:val="auto"/>
                </w:rPr>
                <w:t>]</w:t>
              </w:r>
            </w:hyperlink>
          </w:p>
        </w:tc>
        <w:tc>
          <w:tcPr>
            <w:tcW w:w="28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3,166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51,690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4,448,757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 3</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in accordance with the Issuer's Fifth Amended and Restated Non-Employee Director Compensation Policy, pursuant to which the Reporting Person elected to receive shares of the Issuer's common stock in lieu of cash compensation for annual services as a non-employee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based upon the closing market price of the Issuer's common stock on March 14, 2024.</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16 GP, LLC, which is the sole general partner of NEA Partners 16, L.P. ("NEA Partners 16"). NEA Partners 16 is the sole general partner of New Enterprise Associates 16, L.P. ("NEA 16"), the direct beneficial owner of the securities. The Reporting Person disclaims beneficial ownership within the meaning of Section 16 of the Securities Exchange Act of 1934, as amended, or otherwise of such portion of the securities held by NEA 16 in which the Reporting Person has no pecuniary interest.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Zachary Bambach,</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04/03/2024</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color w:val="auto"/>
        </w:rPr>
        <w:t>POWER OF ATTORNEY</w:t>
      </w:r>
    </w:p>
    <w:p>
      <w:pPr>
        <w:spacing w:after="0" w:line="208" w:lineRule="exact"/>
        <w:rPr>
          <w:sz w:val="20"/>
          <w:szCs w:val="20"/>
          <w:color w:val="auto"/>
        </w:rPr>
      </w:pPr>
    </w:p>
    <w:p>
      <w:pPr>
        <w:jc w:val="both"/>
        <w:ind w:firstLine="373"/>
        <w:spacing w:after="0" w:line="236" w:lineRule="auto"/>
        <w:rPr>
          <w:sz w:val="20"/>
          <w:szCs w:val="20"/>
          <w:color w:val="auto"/>
        </w:rPr>
      </w:pPr>
      <w:r>
        <w:rPr>
          <w:rFonts w:ascii="Times New Roman" w:cs="Times New Roman" w:eastAsia="Times New Roman" w:hAnsi="Times New Roman"/>
          <w:sz w:val="19"/>
          <w:szCs w:val="19"/>
          <w:color w:val="auto"/>
        </w:rPr>
        <w:t>KNOW ALL MEN BY THESE PRESENTS, that the undersigned hereby constitutes and appoints Zachary Bambach, Nicole Hatcher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(the “SEC”), including, but not limited to, signing a Form ID for and on behalf of the undersigned and filing such Form ID with the SEC,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 This power of attorney is perpetual, unless revoked by the undersigned in a signed writing delivered to each of the foregoing attorneys-in-fact.</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9"/>
          <w:szCs w:val="19"/>
          <w:color w:val="auto"/>
        </w:rPr>
        <w:t>IN WITNESS WHEREOF, this Power of Attorney has been signed as of the 29th day of February, 2024.</w:t>
      </w:r>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Peter J. Barris</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Forest Baskett</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Ali Behbahani</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Ronald D. Bernal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184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Ronald D. Bernal</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Ann Bordetsky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Ann Bordetsky</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Carmen Chang</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Philip Chopin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Philip Chopin</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4211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Anthony A. Florence, Jr.</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Jonathan Goldern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1184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Jonathan Goldern</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Scott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Scott Gottlieb</w:t>
      </w:r>
    </w:p>
    <w:p>
      <w:pPr>
        <w:spacing w:after="0" w:line="1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/s/ 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-11430</wp:posOffset>
            </wp:positionV>
            <wp:extent cx="947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9"/>
          <w:szCs w:val="19"/>
          <w:color w:val="auto"/>
        </w:rPr>
        <w:t>Mark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868045</wp:posOffset>
            </wp:positionV>
            <wp:extent cx="698944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392" w:right="459" w:bottom="1440" w:gutter="0" w:footer="0" w:header="0"/>
        </w:sectPr>
      </w:pPr>
    </w:p>
    <w:bookmarkStart w:id="2" w:name="page3"/>
    <w:bookmarkEnd w:id="2"/>
    <w:p>
      <w:pPr>
        <w:spacing w:after="0" w:line="16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Jeffrey R. Immelt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184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Jeffrey R. Immelt</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Aaron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947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Aaron Jacobson</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Patrick J. Kerins</w:t>
      </w:r>
    </w:p>
    <w:p>
      <w:pPr>
        <w:spacing w:after="0" w:line="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Patrick J. Kerins</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/s/ Hilarie Koplow-McAdams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-3810</wp:posOffset>
            </wp:positionV>
            <wp:extent cx="1658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658620" cy="8255"/>
                    </a:xfrm>
                    <a:prstGeom prst="rect">
                      <a:avLst/>
                    </a:prstGeom>
                    <a:noFill/>
                  </pic:spPr>
                </pic:pic>
              </a:graphicData>
            </a:graphic>
          </wp:anchor>
        </w:drawing>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Hilarie Koplow-McAdams</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947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Vanessa Larco</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Julio C.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947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Julio C. Lopez</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Tiffany 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7105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Tiffany Le</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421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Mohamad H. Makhzoumi</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1842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Edward T. Mathers</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4211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42113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Gregory Papadopoulos</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Kavita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9474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Kavita Patel</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Scott D. Sandell</w:t>
      </w:r>
    </w:p>
    <w:p>
      <w:pPr>
        <w:spacing w:after="0" w:line="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Scott D. Sandell</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11842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18427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A. Brooke Seawell</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u w:val="single" w:color="auto"/>
          <w:color w:val="auto"/>
        </w:rPr>
        <w:t>/s/ Melissa Taunton</w:t>
      </w:r>
    </w:p>
    <w:p>
      <w:pPr>
        <w:spacing w:after="0" w:line="1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Melissa Taunton</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9474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Paul E. Walker</w:t>
      </w:r>
    </w:p>
    <w:p>
      <w:pPr>
        <w:spacing w:after="0" w:line="18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9"/>
          <w:szCs w:val="19"/>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-11430</wp:posOffset>
            </wp:positionV>
            <wp:extent cx="710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ind w:left="3420"/>
        <w:spacing w:after="0"/>
        <w:rPr>
          <w:sz w:val="20"/>
          <w:szCs w:val="20"/>
          <w:color w:val="auto"/>
        </w:rPr>
      </w:pPr>
      <w:r>
        <w:rPr>
          <w:rFonts w:ascii="Times New Roman" w:cs="Times New Roman" w:eastAsia="Times New Roman" w:hAnsi="Times New Roman"/>
          <w:sz w:val="19"/>
          <w:szCs w:val="19"/>
          <w:color w:val="auto"/>
        </w:rPr>
        <w:t>Rick Yang</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477520</wp:posOffset>
            </wp:positionV>
            <wp:extent cx="698944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12" Type="http://schemas.openxmlformats.org/officeDocument/2006/relationships/hyperlink" Target="http://www.sec.gov/cgi-bin/browse-edgar?action=getcompany&amp;CIK=0001613867" TargetMode="External"/><Relationship Id="rId13"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2024-04-03T20:12:05Z</dcterms:created>
  <dcterms:modified xsi:type="dcterms:W3CDTF">2024-04-03T20:12:05Z</dcterms:modified>
</cp:coreProperties>
</file>